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B7" w:rsidRDefault="009C0BB7" w:rsidP="009C0BB7">
      <w:pPr>
        <w:spacing w:after="156" w:line="360" w:lineRule="auto"/>
        <w:rPr>
          <w:sz w:val="24"/>
        </w:rPr>
      </w:pPr>
      <w:r>
        <w:rPr>
          <w:rFonts w:hAnsi="宋体"/>
          <w:sz w:val="24"/>
        </w:rPr>
        <w:t>附件</w:t>
      </w:r>
      <w:r>
        <w:rPr>
          <w:sz w:val="24"/>
        </w:rPr>
        <w:t>1</w:t>
      </w:r>
    </w:p>
    <w:p w:rsidR="009C0BB7" w:rsidRDefault="009C0BB7" w:rsidP="009C0BB7">
      <w:pPr>
        <w:spacing w:afterLines="50" w:after="156" w:line="360" w:lineRule="auto"/>
        <w:ind w:right="641"/>
        <w:jc w:val="center"/>
        <w:rPr>
          <w:rFonts w:ascii="宋体" w:hAnsi="宋体"/>
          <w:b/>
          <w:sz w:val="28"/>
          <w:szCs w:val="28"/>
        </w:rPr>
      </w:pPr>
      <w:r>
        <w:rPr>
          <w:rFonts w:ascii="宋体" w:hAnsi="宋体"/>
          <w:b/>
          <w:sz w:val="28"/>
          <w:szCs w:val="28"/>
        </w:rPr>
        <w:t>授 权 委 托 书</w:t>
      </w:r>
    </w:p>
    <w:p w:rsidR="009C0BB7" w:rsidRDefault="009C0BB7" w:rsidP="009C0BB7">
      <w:pPr>
        <w:spacing w:line="360" w:lineRule="auto"/>
        <w:ind w:firstLineChars="200" w:firstLine="480"/>
        <w:rPr>
          <w:rFonts w:hAnsi="宋体"/>
          <w:sz w:val="24"/>
        </w:rPr>
      </w:pPr>
      <w:r>
        <w:rPr>
          <w:rFonts w:hAnsi="宋体"/>
          <w:sz w:val="24"/>
        </w:rPr>
        <w:t>本人（本公司）作为齐鲁银行股份有限公司的股东，兹全权委托</w:t>
      </w:r>
      <w:r w:rsidRPr="00A85209">
        <w:rPr>
          <w:rFonts w:hAnsi="宋体" w:hint="eastAsia"/>
          <w:sz w:val="24"/>
          <w:u w:val="single"/>
        </w:rPr>
        <w:t xml:space="preserve">    </w:t>
      </w:r>
      <w:r>
        <w:rPr>
          <w:rFonts w:hAnsi="宋体"/>
          <w:sz w:val="24"/>
          <w:u w:val="single"/>
        </w:rPr>
        <w:t xml:space="preserve">     </w:t>
      </w:r>
      <w:r w:rsidRPr="00A85209">
        <w:rPr>
          <w:rFonts w:hAnsi="宋体" w:hint="eastAsia"/>
          <w:sz w:val="24"/>
          <w:u w:val="single"/>
        </w:rPr>
        <w:t xml:space="preserve"> </w:t>
      </w:r>
      <w:r>
        <w:rPr>
          <w:rFonts w:hAnsi="宋体"/>
          <w:sz w:val="24"/>
        </w:rPr>
        <w:t>先生（女士）代表本人（本公司）出席齐鲁银行股份有限公司于</w:t>
      </w:r>
      <w:r>
        <w:rPr>
          <w:sz w:val="24"/>
        </w:rPr>
        <w:t>2018</w:t>
      </w:r>
      <w:r>
        <w:rPr>
          <w:sz w:val="24"/>
        </w:rPr>
        <w:t>年</w:t>
      </w:r>
      <w:r>
        <w:rPr>
          <w:sz w:val="24"/>
        </w:rPr>
        <w:t>11</w:t>
      </w:r>
      <w:r>
        <w:rPr>
          <w:sz w:val="24"/>
        </w:rPr>
        <w:t>月</w:t>
      </w:r>
      <w:r>
        <w:rPr>
          <w:sz w:val="24"/>
        </w:rPr>
        <w:t>21</w:t>
      </w:r>
      <w:r>
        <w:rPr>
          <w:sz w:val="24"/>
        </w:rPr>
        <w:t>日</w:t>
      </w:r>
      <w:r>
        <w:rPr>
          <w:rFonts w:hAnsi="宋体"/>
          <w:sz w:val="24"/>
        </w:rPr>
        <w:t>召开的</w:t>
      </w:r>
      <w:r>
        <w:rPr>
          <w:rFonts w:hAnsi="宋体"/>
          <w:sz w:val="24"/>
        </w:rPr>
        <w:t>2018</w:t>
      </w:r>
      <w:r>
        <w:rPr>
          <w:rFonts w:hAnsi="宋体"/>
          <w:sz w:val="24"/>
        </w:rPr>
        <w:t>年第二次</w:t>
      </w:r>
      <w:r>
        <w:rPr>
          <w:rFonts w:hAnsi="宋体" w:hint="eastAsia"/>
          <w:sz w:val="24"/>
        </w:rPr>
        <w:t>临时</w:t>
      </w:r>
      <w:r>
        <w:rPr>
          <w:rFonts w:hAnsi="宋体"/>
          <w:sz w:val="24"/>
        </w:rPr>
        <w:t>股东大会，并对会议议案行使表决权。</w:t>
      </w:r>
    </w:p>
    <w:p w:rsidR="009C0BB7" w:rsidRDefault="009C0BB7" w:rsidP="009C0BB7">
      <w:pPr>
        <w:spacing w:afterLines="50" w:after="156" w:line="360" w:lineRule="auto"/>
        <w:ind w:firstLineChars="200" w:firstLine="480"/>
        <w:rPr>
          <w:rFonts w:hAnsi="宋体"/>
          <w:sz w:val="24"/>
        </w:rPr>
      </w:pPr>
      <w:r>
        <w:rPr>
          <w:rFonts w:hAnsi="宋体"/>
          <w:sz w:val="24"/>
        </w:rPr>
        <w:t>委托人对下列审议事项投“同意、反对、弃权”票的指示（用“√”表示）：</w:t>
      </w:r>
    </w:p>
    <w:p w:rsidR="009C0BB7" w:rsidRDefault="009C0BB7" w:rsidP="009C0BB7">
      <w:pPr>
        <w:spacing w:afterLines="50" w:after="156" w:line="360" w:lineRule="auto"/>
        <w:ind w:firstLineChars="200" w:firstLine="480"/>
        <w:rPr>
          <w:rFonts w:hAnsi="宋体"/>
          <w:sz w:val="24"/>
        </w:rPr>
      </w:pPr>
      <w:r>
        <w:rPr>
          <w:rFonts w:hAnsi="宋体" w:hint="eastAsia"/>
          <w:sz w:val="24"/>
        </w:rPr>
        <w:t>一、普通股股东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45"/>
        <w:gridCol w:w="737"/>
        <w:gridCol w:w="719"/>
        <w:gridCol w:w="721"/>
      </w:tblGrid>
      <w:tr w:rsidR="009C0BB7" w:rsidTr="00C30E55">
        <w:trPr>
          <w:trHeight w:val="57"/>
        </w:trPr>
        <w:tc>
          <w:tcPr>
            <w:tcW w:w="600" w:type="dxa"/>
            <w:vAlign w:val="center"/>
          </w:tcPr>
          <w:p w:rsidR="009C0BB7" w:rsidRDefault="009C0BB7" w:rsidP="00C30E55">
            <w:pPr>
              <w:jc w:val="center"/>
              <w:rPr>
                <w:rFonts w:ascii="宋体" w:hAnsi="宋体"/>
                <w:b/>
                <w:szCs w:val="21"/>
              </w:rPr>
            </w:pPr>
            <w:r>
              <w:rPr>
                <w:rFonts w:ascii="宋体" w:hAnsi="宋体"/>
                <w:b/>
                <w:szCs w:val="21"/>
              </w:rPr>
              <w:t>序号</w:t>
            </w:r>
          </w:p>
        </w:tc>
        <w:tc>
          <w:tcPr>
            <w:tcW w:w="5745" w:type="dxa"/>
            <w:vAlign w:val="center"/>
          </w:tcPr>
          <w:p w:rsidR="009C0BB7" w:rsidRDefault="009C0BB7" w:rsidP="00C30E55">
            <w:pPr>
              <w:jc w:val="center"/>
              <w:rPr>
                <w:rFonts w:ascii="宋体" w:hAnsi="宋体"/>
                <w:b/>
                <w:szCs w:val="21"/>
              </w:rPr>
            </w:pPr>
            <w:r>
              <w:rPr>
                <w:rFonts w:ascii="宋体" w:hAnsi="宋体"/>
                <w:b/>
                <w:szCs w:val="21"/>
              </w:rPr>
              <w:t>议案</w:t>
            </w:r>
          </w:p>
        </w:tc>
        <w:tc>
          <w:tcPr>
            <w:tcW w:w="737" w:type="dxa"/>
            <w:vAlign w:val="center"/>
          </w:tcPr>
          <w:p w:rsidR="009C0BB7" w:rsidRDefault="009C0BB7" w:rsidP="00C30E55">
            <w:pPr>
              <w:jc w:val="center"/>
              <w:rPr>
                <w:rFonts w:ascii="宋体" w:hAnsi="宋体"/>
                <w:b/>
                <w:szCs w:val="21"/>
              </w:rPr>
            </w:pPr>
            <w:r>
              <w:rPr>
                <w:rFonts w:ascii="宋体" w:hAnsi="宋体"/>
                <w:b/>
                <w:szCs w:val="21"/>
              </w:rPr>
              <w:t>同意</w:t>
            </w:r>
          </w:p>
        </w:tc>
        <w:tc>
          <w:tcPr>
            <w:tcW w:w="719" w:type="dxa"/>
            <w:vAlign w:val="center"/>
          </w:tcPr>
          <w:p w:rsidR="009C0BB7" w:rsidRDefault="009C0BB7" w:rsidP="00C30E55">
            <w:pPr>
              <w:jc w:val="center"/>
              <w:rPr>
                <w:rFonts w:ascii="宋体" w:hAnsi="宋体"/>
                <w:b/>
                <w:szCs w:val="21"/>
              </w:rPr>
            </w:pPr>
            <w:r>
              <w:rPr>
                <w:rFonts w:ascii="宋体" w:hAnsi="宋体"/>
                <w:b/>
                <w:szCs w:val="21"/>
              </w:rPr>
              <w:t>反对</w:t>
            </w:r>
          </w:p>
        </w:tc>
        <w:tc>
          <w:tcPr>
            <w:tcW w:w="721" w:type="dxa"/>
            <w:vAlign w:val="center"/>
          </w:tcPr>
          <w:p w:rsidR="009C0BB7" w:rsidRDefault="009C0BB7" w:rsidP="00C30E55">
            <w:pPr>
              <w:jc w:val="center"/>
              <w:rPr>
                <w:rFonts w:ascii="宋体" w:hAnsi="宋体"/>
                <w:b/>
                <w:szCs w:val="21"/>
              </w:rPr>
            </w:pPr>
            <w:r>
              <w:rPr>
                <w:rFonts w:ascii="宋体" w:hAnsi="宋体"/>
                <w:b/>
                <w:szCs w:val="21"/>
              </w:rPr>
              <w:t>弃权</w:t>
            </w:r>
          </w:p>
        </w:tc>
      </w:tr>
      <w:tr w:rsidR="009C0BB7" w:rsidTr="00C30E55">
        <w:trPr>
          <w:trHeight w:val="57"/>
        </w:trPr>
        <w:tc>
          <w:tcPr>
            <w:tcW w:w="600" w:type="dxa"/>
            <w:vAlign w:val="center"/>
          </w:tcPr>
          <w:p w:rsidR="009C0BB7" w:rsidRPr="00A85209" w:rsidRDefault="009C0BB7" w:rsidP="00C30E55">
            <w:pPr>
              <w:jc w:val="center"/>
              <w:rPr>
                <w:szCs w:val="21"/>
              </w:rPr>
            </w:pPr>
            <w:r w:rsidRPr="00A85209">
              <w:rPr>
                <w:rFonts w:hint="eastAsia"/>
                <w:szCs w:val="21"/>
              </w:rPr>
              <w:t>1</w:t>
            </w:r>
          </w:p>
        </w:tc>
        <w:tc>
          <w:tcPr>
            <w:tcW w:w="5745" w:type="dxa"/>
            <w:vAlign w:val="center"/>
          </w:tcPr>
          <w:p w:rsidR="009C0BB7" w:rsidRPr="00A85209" w:rsidRDefault="009C0BB7" w:rsidP="00C30E55">
            <w:pPr>
              <w:autoSpaceDE w:val="0"/>
              <w:autoSpaceDN w:val="0"/>
              <w:adjustRightInd w:val="0"/>
              <w:rPr>
                <w:szCs w:val="21"/>
              </w:rPr>
            </w:pPr>
            <w:r>
              <w:rPr>
                <w:rFonts w:hint="eastAsia"/>
                <w:szCs w:val="21"/>
              </w:rPr>
              <w:t>《关于选举李九旭为</w:t>
            </w:r>
            <w:r w:rsidRPr="00A85209">
              <w:rPr>
                <w:rFonts w:hint="eastAsia"/>
                <w:szCs w:val="21"/>
              </w:rPr>
              <w:t>第七届董事会董事（执行董事）的议案》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《关于首次公开发行人民币普通股（</w:t>
            </w:r>
            <w:r>
              <w:rPr>
                <w:rFonts w:hint="eastAsia"/>
                <w:szCs w:val="21"/>
              </w:rPr>
              <w:t>A</w:t>
            </w:r>
            <w:r>
              <w:rPr>
                <w:rFonts w:hint="eastAsia"/>
                <w:szCs w:val="21"/>
              </w:rPr>
              <w:t>股）股票并上市方案的议案》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2.1</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发行股票种类和面值</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2.2</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发行股票的规模</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2.3</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发行对象</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2.4</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战略配售</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2.5</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定价方式</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2.6</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发行方式</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2.7</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募集资金用途</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2.8</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发行前滚存利润分配方案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2.9</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承销方式</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2.10</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上市地点</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2.11</w:t>
            </w:r>
          </w:p>
        </w:tc>
        <w:tc>
          <w:tcPr>
            <w:tcW w:w="5745" w:type="dxa"/>
            <w:vAlign w:val="center"/>
          </w:tcPr>
          <w:p w:rsidR="009C0BB7" w:rsidRDefault="009C0BB7" w:rsidP="00C30E55">
            <w:pPr>
              <w:autoSpaceDE w:val="0"/>
              <w:autoSpaceDN w:val="0"/>
              <w:adjustRightInd w:val="0"/>
              <w:rPr>
                <w:szCs w:val="21"/>
              </w:rPr>
            </w:pPr>
            <w:r w:rsidRPr="00A85209">
              <w:rPr>
                <w:rFonts w:hint="eastAsia"/>
                <w:szCs w:val="21"/>
              </w:rPr>
              <w:t>决议有效期</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3</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《关于首次公开发行人民币普通股（</w:t>
            </w:r>
            <w:r>
              <w:rPr>
                <w:rFonts w:hint="eastAsia"/>
                <w:szCs w:val="21"/>
              </w:rPr>
              <w:t>A</w:t>
            </w:r>
            <w:r>
              <w:rPr>
                <w:rFonts w:hint="eastAsia"/>
                <w:szCs w:val="21"/>
              </w:rPr>
              <w:t>股）股票并上市前滚存利润分配方案的议案》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4</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《关于提请股东大会授权董事会及其授权人士全权办理首次公开发行人民币普通股（</w:t>
            </w:r>
            <w:r>
              <w:rPr>
                <w:rFonts w:hint="eastAsia"/>
                <w:szCs w:val="21"/>
              </w:rPr>
              <w:t>A</w:t>
            </w:r>
            <w:r>
              <w:rPr>
                <w:rFonts w:hint="eastAsia"/>
                <w:szCs w:val="21"/>
              </w:rPr>
              <w:t>股）股票并上市有关事宜的议案》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5</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《关于首次公开发行人民币普通股（</w:t>
            </w:r>
            <w:r>
              <w:rPr>
                <w:rFonts w:hint="eastAsia"/>
                <w:szCs w:val="21"/>
              </w:rPr>
              <w:t>A</w:t>
            </w:r>
            <w:r>
              <w:rPr>
                <w:rFonts w:hint="eastAsia"/>
                <w:szCs w:val="21"/>
              </w:rPr>
              <w:t>股）股票并上市后三年股东分红回报规划的议案》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6</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《关于首次公开发行人民币普通股（</w:t>
            </w:r>
            <w:r>
              <w:rPr>
                <w:rFonts w:hint="eastAsia"/>
                <w:szCs w:val="21"/>
              </w:rPr>
              <w:t>A</w:t>
            </w:r>
            <w:r>
              <w:rPr>
                <w:rFonts w:hint="eastAsia"/>
                <w:szCs w:val="21"/>
              </w:rPr>
              <w:t>股）股票并上市后三年内稳定股价预案的议案》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7</w:t>
            </w:r>
          </w:p>
        </w:tc>
        <w:tc>
          <w:tcPr>
            <w:tcW w:w="5745" w:type="dxa"/>
            <w:vAlign w:val="center"/>
          </w:tcPr>
          <w:p w:rsidR="009C0BB7" w:rsidRDefault="009C0BB7" w:rsidP="00C30E55">
            <w:pPr>
              <w:autoSpaceDE w:val="0"/>
              <w:autoSpaceDN w:val="0"/>
              <w:adjustRightInd w:val="0"/>
              <w:rPr>
                <w:bCs/>
                <w:color w:val="000000"/>
                <w:kern w:val="0"/>
                <w:szCs w:val="21"/>
              </w:rPr>
            </w:pPr>
            <w:r>
              <w:rPr>
                <w:rFonts w:hint="eastAsia"/>
                <w:szCs w:val="21"/>
              </w:rPr>
              <w:t>《关于就首次公开发行人民币普通股（</w:t>
            </w:r>
            <w:r>
              <w:rPr>
                <w:rFonts w:hint="eastAsia"/>
                <w:szCs w:val="21"/>
              </w:rPr>
              <w:t>A</w:t>
            </w:r>
            <w:r>
              <w:rPr>
                <w:rFonts w:hint="eastAsia"/>
                <w:szCs w:val="21"/>
              </w:rPr>
              <w:t>股）股票并上市事宜出具相关承诺并提出相应约束措施的议案》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8</w:t>
            </w:r>
          </w:p>
        </w:tc>
        <w:tc>
          <w:tcPr>
            <w:tcW w:w="5745" w:type="dxa"/>
            <w:vAlign w:val="center"/>
          </w:tcPr>
          <w:p w:rsidR="009C0BB7" w:rsidRDefault="009C0BB7" w:rsidP="00C30E55">
            <w:pPr>
              <w:autoSpaceDE w:val="0"/>
              <w:autoSpaceDN w:val="0"/>
              <w:adjustRightInd w:val="0"/>
              <w:rPr>
                <w:szCs w:val="21"/>
              </w:rPr>
            </w:pPr>
            <w:r>
              <w:rPr>
                <w:rFonts w:hint="eastAsia"/>
                <w:szCs w:val="21"/>
              </w:rPr>
              <w:t>《关于制定上市后适用的</w:t>
            </w:r>
            <w:r>
              <w:rPr>
                <w:rFonts w:hint="eastAsia"/>
                <w:szCs w:val="21"/>
              </w:rPr>
              <w:t>&lt;</w:t>
            </w:r>
            <w:r>
              <w:rPr>
                <w:rFonts w:hint="eastAsia"/>
                <w:szCs w:val="21"/>
              </w:rPr>
              <w:t>齐鲁银行股份有限公司股东大会议事规则（草案）</w:t>
            </w:r>
            <w:r>
              <w:rPr>
                <w:rFonts w:hint="eastAsia"/>
                <w:szCs w:val="21"/>
              </w:rPr>
              <w:t>&gt;</w:t>
            </w:r>
            <w:r>
              <w:rPr>
                <w:rFonts w:hint="eastAsia"/>
                <w:szCs w:val="21"/>
              </w:rPr>
              <w:t>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9</w:t>
            </w:r>
          </w:p>
        </w:tc>
        <w:tc>
          <w:tcPr>
            <w:tcW w:w="5745" w:type="dxa"/>
            <w:vAlign w:val="center"/>
          </w:tcPr>
          <w:p w:rsidR="009C0BB7" w:rsidRDefault="009C0BB7" w:rsidP="00C30E55">
            <w:pPr>
              <w:rPr>
                <w:szCs w:val="21"/>
              </w:rPr>
            </w:pPr>
            <w:r>
              <w:rPr>
                <w:rFonts w:hint="eastAsia"/>
                <w:szCs w:val="21"/>
              </w:rPr>
              <w:t>《关于制定上市后适用的</w:t>
            </w:r>
            <w:r>
              <w:rPr>
                <w:rFonts w:hint="eastAsia"/>
                <w:szCs w:val="21"/>
              </w:rPr>
              <w:t>&lt;</w:t>
            </w:r>
            <w:r>
              <w:rPr>
                <w:rFonts w:hint="eastAsia"/>
                <w:szCs w:val="21"/>
              </w:rPr>
              <w:t>齐鲁银行股份有限公司董事会议事规则（草案）</w:t>
            </w:r>
            <w:r>
              <w:rPr>
                <w:rFonts w:hint="eastAsia"/>
                <w:szCs w:val="21"/>
              </w:rPr>
              <w:t>&gt;</w:t>
            </w:r>
            <w:r>
              <w:rPr>
                <w:rFonts w:hint="eastAsia"/>
                <w:szCs w:val="21"/>
              </w:rPr>
              <w:t>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10</w:t>
            </w:r>
          </w:p>
        </w:tc>
        <w:tc>
          <w:tcPr>
            <w:tcW w:w="5745" w:type="dxa"/>
            <w:vAlign w:val="center"/>
          </w:tcPr>
          <w:p w:rsidR="009C0BB7" w:rsidRDefault="009C0BB7" w:rsidP="00C30E55">
            <w:pPr>
              <w:rPr>
                <w:szCs w:val="21"/>
              </w:rPr>
            </w:pPr>
            <w:r>
              <w:rPr>
                <w:rFonts w:hint="eastAsia"/>
                <w:szCs w:val="21"/>
              </w:rPr>
              <w:t>《关于制定上市后适用的</w:t>
            </w:r>
            <w:r>
              <w:rPr>
                <w:rFonts w:hint="eastAsia"/>
                <w:szCs w:val="21"/>
              </w:rPr>
              <w:t>&lt;</w:t>
            </w:r>
            <w:r>
              <w:rPr>
                <w:rFonts w:hint="eastAsia"/>
                <w:szCs w:val="21"/>
              </w:rPr>
              <w:t>齐鲁银行股份有限公司监事会议</w:t>
            </w:r>
            <w:r>
              <w:rPr>
                <w:rFonts w:hint="eastAsia"/>
                <w:szCs w:val="21"/>
              </w:rPr>
              <w:lastRenderedPageBreak/>
              <w:t>事规则（草案）</w:t>
            </w:r>
            <w:r>
              <w:rPr>
                <w:rFonts w:hint="eastAsia"/>
                <w:szCs w:val="21"/>
              </w:rPr>
              <w:t>&gt;</w:t>
            </w:r>
            <w:r>
              <w:rPr>
                <w:rFonts w:hint="eastAsia"/>
                <w:szCs w:val="21"/>
              </w:rPr>
              <w:t>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lastRenderedPageBreak/>
              <w:t>11</w:t>
            </w:r>
          </w:p>
        </w:tc>
        <w:tc>
          <w:tcPr>
            <w:tcW w:w="5745" w:type="dxa"/>
            <w:vAlign w:val="center"/>
          </w:tcPr>
          <w:p w:rsidR="009C0BB7" w:rsidRDefault="009C0BB7" w:rsidP="00C30E55">
            <w:pPr>
              <w:rPr>
                <w:szCs w:val="21"/>
              </w:rPr>
            </w:pPr>
            <w:r>
              <w:rPr>
                <w:rFonts w:hint="eastAsia"/>
                <w:szCs w:val="21"/>
              </w:rPr>
              <w:t>《关于制定上市后适用的</w:t>
            </w:r>
            <w:r>
              <w:rPr>
                <w:rFonts w:hint="eastAsia"/>
                <w:szCs w:val="21"/>
              </w:rPr>
              <w:t>&lt;</w:t>
            </w:r>
            <w:r>
              <w:rPr>
                <w:rFonts w:hint="eastAsia"/>
                <w:szCs w:val="21"/>
              </w:rPr>
              <w:t>齐鲁银行股份有限公司章程（草案）</w:t>
            </w:r>
            <w:r>
              <w:rPr>
                <w:rFonts w:hint="eastAsia"/>
                <w:szCs w:val="21"/>
              </w:rPr>
              <w:t>&gt;</w:t>
            </w:r>
            <w:r>
              <w:rPr>
                <w:rFonts w:hint="eastAsia"/>
                <w:szCs w:val="21"/>
              </w:rPr>
              <w:t>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bl>
    <w:p w:rsidR="009C0BB7" w:rsidRDefault="009C0BB7" w:rsidP="009C0BB7">
      <w:pPr>
        <w:spacing w:afterLines="50" w:after="156" w:line="360" w:lineRule="auto"/>
        <w:ind w:firstLineChars="200" w:firstLine="480"/>
        <w:rPr>
          <w:rFonts w:hAnsi="宋体"/>
          <w:sz w:val="24"/>
        </w:rPr>
      </w:pPr>
      <w:r>
        <w:rPr>
          <w:rFonts w:hAnsi="宋体" w:hint="eastAsia"/>
          <w:sz w:val="24"/>
        </w:rPr>
        <w:t>二、优先股股东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45"/>
        <w:gridCol w:w="737"/>
        <w:gridCol w:w="719"/>
        <w:gridCol w:w="721"/>
      </w:tblGrid>
      <w:tr w:rsidR="009C0BB7" w:rsidTr="00C30E55">
        <w:trPr>
          <w:trHeight w:val="57"/>
        </w:trPr>
        <w:tc>
          <w:tcPr>
            <w:tcW w:w="600" w:type="dxa"/>
            <w:vAlign w:val="center"/>
          </w:tcPr>
          <w:p w:rsidR="009C0BB7" w:rsidRDefault="009C0BB7" w:rsidP="00C30E55">
            <w:pPr>
              <w:jc w:val="center"/>
              <w:rPr>
                <w:rFonts w:ascii="宋体" w:hAnsi="宋体"/>
                <w:b/>
                <w:szCs w:val="21"/>
              </w:rPr>
            </w:pPr>
            <w:r>
              <w:rPr>
                <w:rFonts w:ascii="宋体" w:hAnsi="宋体"/>
                <w:b/>
                <w:szCs w:val="21"/>
              </w:rPr>
              <w:t>序号</w:t>
            </w:r>
          </w:p>
        </w:tc>
        <w:tc>
          <w:tcPr>
            <w:tcW w:w="5745" w:type="dxa"/>
            <w:vAlign w:val="center"/>
          </w:tcPr>
          <w:p w:rsidR="009C0BB7" w:rsidRDefault="009C0BB7" w:rsidP="00C30E55">
            <w:pPr>
              <w:jc w:val="center"/>
              <w:rPr>
                <w:rFonts w:ascii="宋体" w:hAnsi="宋体"/>
                <w:b/>
                <w:szCs w:val="21"/>
              </w:rPr>
            </w:pPr>
            <w:r>
              <w:rPr>
                <w:rFonts w:ascii="宋体" w:hAnsi="宋体"/>
                <w:b/>
                <w:szCs w:val="21"/>
              </w:rPr>
              <w:t>议案</w:t>
            </w:r>
          </w:p>
        </w:tc>
        <w:tc>
          <w:tcPr>
            <w:tcW w:w="737" w:type="dxa"/>
            <w:vAlign w:val="center"/>
          </w:tcPr>
          <w:p w:rsidR="009C0BB7" w:rsidRDefault="009C0BB7" w:rsidP="00C30E55">
            <w:pPr>
              <w:jc w:val="center"/>
              <w:rPr>
                <w:rFonts w:ascii="宋体" w:hAnsi="宋体"/>
                <w:b/>
                <w:szCs w:val="21"/>
              </w:rPr>
            </w:pPr>
            <w:r>
              <w:rPr>
                <w:rFonts w:ascii="宋体" w:hAnsi="宋体"/>
                <w:b/>
                <w:szCs w:val="21"/>
              </w:rPr>
              <w:t>同意</w:t>
            </w:r>
          </w:p>
        </w:tc>
        <w:tc>
          <w:tcPr>
            <w:tcW w:w="719" w:type="dxa"/>
            <w:vAlign w:val="center"/>
          </w:tcPr>
          <w:p w:rsidR="009C0BB7" w:rsidRDefault="009C0BB7" w:rsidP="00C30E55">
            <w:pPr>
              <w:jc w:val="center"/>
              <w:rPr>
                <w:rFonts w:ascii="宋体" w:hAnsi="宋体"/>
                <w:b/>
                <w:szCs w:val="21"/>
              </w:rPr>
            </w:pPr>
            <w:r>
              <w:rPr>
                <w:rFonts w:ascii="宋体" w:hAnsi="宋体"/>
                <w:b/>
                <w:szCs w:val="21"/>
              </w:rPr>
              <w:t>反对</w:t>
            </w:r>
          </w:p>
        </w:tc>
        <w:tc>
          <w:tcPr>
            <w:tcW w:w="721" w:type="dxa"/>
            <w:vAlign w:val="center"/>
          </w:tcPr>
          <w:p w:rsidR="009C0BB7" w:rsidRDefault="009C0BB7" w:rsidP="00C30E55">
            <w:pPr>
              <w:jc w:val="center"/>
              <w:rPr>
                <w:rFonts w:ascii="宋体" w:hAnsi="宋体"/>
                <w:b/>
                <w:szCs w:val="21"/>
              </w:rPr>
            </w:pPr>
            <w:r>
              <w:rPr>
                <w:rFonts w:ascii="宋体" w:hAnsi="宋体"/>
                <w:b/>
                <w:szCs w:val="21"/>
              </w:rPr>
              <w:t>弃权</w:t>
            </w:r>
          </w:p>
        </w:tc>
      </w:tr>
      <w:tr w:rsidR="009C0BB7" w:rsidTr="00C30E55">
        <w:trPr>
          <w:trHeight w:val="57"/>
        </w:trPr>
        <w:tc>
          <w:tcPr>
            <w:tcW w:w="600" w:type="dxa"/>
            <w:vAlign w:val="center"/>
          </w:tcPr>
          <w:p w:rsidR="009C0BB7" w:rsidRDefault="009C0BB7" w:rsidP="00C30E55">
            <w:pPr>
              <w:jc w:val="center"/>
              <w:rPr>
                <w:szCs w:val="21"/>
              </w:rPr>
            </w:pPr>
            <w:r>
              <w:rPr>
                <w:rFonts w:hint="eastAsia"/>
                <w:szCs w:val="21"/>
              </w:rPr>
              <w:t>1</w:t>
            </w:r>
          </w:p>
        </w:tc>
        <w:tc>
          <w:tcPr>
            <w:tcW w:w="5745" w:type="dxa"/>
            <w:vAlign w:val="center"/>
          </w:tcPr>
          <w:p w:rsidR="009C0BB7" w:rsidRDefault="009C0BB7" w:rsidP="00C30E55">
            <w:pPr>
              <w:rPr>
                <w:szCs w:val="21"/>
              </w:rPr>
            </w:pPr>
            <w:r>
              <w:rPr>
                <w:rFonts w:hint="eastAsia"/>
                <w:szCs w:val="21"/>
              </w:rPr>
              <w:t>《关于制定上市后适用的</w:t>
            </w:r>
            <w:r>
              <w:rPr>
                <w:rFonts w:hint="eastAsia"/>
                <w:szCs w:val="21"/>
              </w:rPr>
              <w:t>&lt;</w:t>
            </w:r>
            <w:r>
              <w:rPr>
                <w:rFonts w:hint="eastAsia"/>
                <w:szCs w:val="21"/>
              </w:rPr>
              <w:t>齐鲁银行股份有限公司章程（草案）</w:t>
            </w:r>
            <w:r>
              <w:rPr>
                <w:rFonts w:hint="eastAsia"/>
                <w:szCs w:val="21"/>
              </w:rPr>
              <w:t>&gt;</w:t>
            </w:r>
            <w:r>
              <w:rPr>
                <w:rFonts w:hint="eastAsia"/>
                <w:szCs w:val="21"/>
              </w:rPr>
              <w:t>的议案》</w:t>
            </w:r>
          </w:p>
        </w:tc>
        <w:tc>
          <w:tcPr>
            <w:tcW w:w="737" w:type="dxa"/>
            <w:vAlign w:val="center"/>
          </w:tcPr>
          <w:p w:rsidR="009C0BB7" w:rsidRDefault="009C0BB7" w:rsidP="00C30E55">
            <w:pPr>
              <w:jc w:val="center"/>
              <w:rPr>
                <w:rFonts w:ascii="宋体" w:hAnsi="宋体"/>
                <w:szCs w:val="21"/>
              </w:rPr>
            </w:pPr>
          </w:p>
        </w:tc>
        <w:tc>
          <w:tcPr>
            <w:tcW w:w="719" w:type="dxa"/>
            <w:vAlign w:val="center"/>
          </w:tcPr>
          <w:p w:rsidR="009C0BB7" w:rsidRDefault="009C0BB7" w:rsidP="00C30E55">
            <w:pPr>
              <w:jc w:val="center"/>
              <w:rPr>
                <w:rFonts w:ascii="宋体" w:hAnsi="宋体"/>
                <w:szCs w:val="21"/>
              </w:rPr>
            </w:pPr>
          </w:p>
        </w:tc>
        <w:tc>
          <w:tcPr>
            <w:tcW w:w="721" w:type="dxa"/>
            <w:vAlign w:val="center"/>
          </w:tcPr>
          <w:p w:rsidR="009C0BB7" w:rsidRDefault="009C0BB7" w:rsidP="00C30E55">
            <w:pPr>
              <w:jc w:val="center"/>
              <w:rPr>
                <w:rFonts w:ascii="宋体" w:hAnsi="宋体"/>
                <w:szCs w:val="21"/>
              </w:rPr>
            </w:pPr>
          </w:p>
        </w:tc>
      </w:tr>
    </w:tbl>
    <w:p w:rsidR="009C0BB7" w:rsidRDefault="009C0BB7" w:rsidP="009C0BB7">
      <w:pPr>
        <w:spacing w:line="360" w:lineRule="auto"/>
        <w:rPr>
          <w:rFonts w:hAnsi="宋体"/>
          <w:sz w:val="24"/>
        </w:rPr>
      </w:pPr>
      <w:r>
        <w:rPr>
          <w:rFonts w:hAnsi="宋体"/>
          <w:sz w:val="24"/>
        </w:rPr>
        <w:t>受托人对可能纳入股东大会议程的临时提案行使表决权时：</w:t>
      </w:r>
    </w:p>
    <w:p w:rsidR="009C0BB7" w:rsidRDefault="009C0BB7" w:rsidP="009C0BB7">
      <w:pPr>
        <w:spacing w:line="360" w:lineRule="auto"/>
        <w:rPr>
          <w:rFonts w:hAnsi="宋体"/>
          <w:sz w:val="24"/>
        </w:rPr>
      </w:pPr>
      <w:r>
        <w:rPr>
          <w:rFonts w:hAnsi="宋体"/>
          <w:sz w:val="24"/>
        </w:rPr>
        <w:t>□可以按自己的意思表决</w:t>
      </w:r>
    </w:p>
    <w:p w:rsidR="009C0BB7" w:rsidRDefault="009C0BB7" w:rsidP="009C0BB7">
      <w:pPr>
        <w:spacing w:line="360" w:lineRule="auto"/>
        <w:rPr>
          <w:rFonts w:hAnsi="宋体"/>
          <w:sz w:val="24"/>
        </w:rPr>
      </w:pPr>
      <w:r>
        <w:rPr>
          <w:rFonts w:hAnsi="宋体"/>
          <w:sz w:val="24"/>
        </w:rPr>
        <w:t>□应行使表决权：□同意、□反对、□弃权。</w:t>
      </w:r>
    </w:p>
    <w:p w:rsidR="009C0BB7" w:rsidRDefault="009C0BB7" w:rsidP="009C0BB7">
      <w:pPr>
        <w:spacing w:line="360" w:lineRule="auto"/>
        <w:rPr>
          <w:rFonts w:hAnsi="宋体"/>
          <w:sz w:val="24"/>
        </w:rPr>
      </w:pPr>
      <w:r>
        <w:rPr>
          <w:rFonts w:hAnsi="宋体"/>
          <w:sz w:val="24"/>
        </w:rPr>
        <w:t>本授权委托的有效期：自本授权委托书签署之日至本次股东大会结束。</w:t>
      </w:r>
    </w:p>
    <w:p w:rsidR="009C0BB7" w:rsidRDefault="009C0BB7" w:rsidP="009C0BB7">
      <w:pPr>
        <w:spacing w:line="360" w:lineRule="auto"/>
        <w:rPr>
          <w:rFonts w:hAnsi="宋体"/>
          <w:sz w:val="24"/>
        </w:rPr>
      </w:pPr>
      <w:r>
        <w:rPr>
          <w:rFonts w:hAnsi="宋体" w:hint="eastAsia"/>
          <w:sz w:val="24"/>
        </w:rPr>
        <w:t>委托人签名（自然人股东签名，法人股东由法定代表人或负责人签署后加盖单位公章）：</w:t>
      </w:r>
    </w:p>
    <w:p w:rsidR="009C0BB7" w:rsidRDefault="009C0BB7" w:rsidP="009C0BB7">
      <w:pPr>
        <w:spacing w:line="360" w:lineRule="auto"/>
        <w:rPr>
          <w:rFonts w:hAnsi="宋体"/>
          <w:sz w:val="24"/>
        </w:rPr>
      </w:pPr>
      <w:r>
        <w:rPr>
          <w:rFonts w:hAnsi="宋体" w:hint="eastAsia"/>
          <w:sz w:val="24"/>
        </w:rPr>
        <w:t>委托人证件号码（自然人股东填写身份证号码，</w:t>
      </w:r>
    </w:p>
    <w:p w:rsidR="009C0BB7" w:rsidRDefault="009C0BB7" w:rsidP="009C0BB7">
      <w:pPr>
        <w:spacing w:line="360" w:lineRule="auto"/>
        <w:rPr>
          <w:rFonts w:hAnsi="宋体"/>
          <w:sz w:val="24"/>
        </w:rPr>
      </w:pPr>
      <w:r>
        <w:rPr>
          <w:rFonts w:hAnsi="宋体" w:hint="eastAsia"/>
          <w:sz w:val="24"/>
        </w:rPr>
        <w:t>法人股东填写营业执照号码）：</w:t>
      </w:r>
    </w:p>
    <w:p w:rsidR="009C0BB7" w:rsidRDefault="009C0BB7" w:rsidP="009C0BB7">
      <w:pPr>
        <w:spacing w:line="360" w:lineRule="auto"/>
        <w:rPr>
          <w:rFonts w:hAnsi="宋体"/>
          <w:sz w:val="24"/>
        </w:rPr>
      </w:pPr>
      <w:r>
        <w:rPr>
          <w:rFonts w:hAnsi="宋体"/>
          <w:sz w:val="24"/>
        </w:rPr>
        <w:t>委托人持股数：</w:t>
      </w:r>
    </w:p>
    <w:p w:rsidR="009C0BB7" w:rsidRDefault="009C0BB7" w:rsidP="009C0BB7">
      <w:pPr>
        <w:spacing w:line="360" w:lineRule="auto"/>
        <w:rPr>
          <w:rFonts w:hAnsi="宋体"/>
          <w:sz w:val="24"/>
        </w:rPr>
      </w:pPr>
      <w:r>
        <w:rPr>
          <w:rFonts w:hAnsi="宋体"/>
          <w:sz w:val="24"/>
        </w:rPr>
        <w:t>委托人证券账号：</w:t>
      </w:r>
    </w:p>
    <w:p w:rsidR="009C0BB7" w:rsidRDefault="009C0BB7" w:rsidP="009C0BB7">
      <w:pPr>
        <w:spacing w:line="360" w:lineRule="auto"/>
        <w:rPr>
          <w:rFonts w:hAnsi="宋体"/>
          <w:sz w:val="24"/>
        </w:rPr>
      </w:pPr>
      <w:r>
        <w:rPr>
          <w:rFonts w:hAnsi="宋体"/>
          <w:sz w:val="24"/>
        </w:rPr>
        <w:t>受托人签名：</w:t>
      </w:r>
    </w:p>
    <w:p w:rsidR="009C0BB7" w:rsidRDefault="009C0BB7" w:rsidP="009C0BB7">
      <w:pPr>
        <w:spacing w:line="360" w:lineRule="auto"/>
        <w:rPr>
          <w:rFonts w:hAnsi="宋体"/>
          <w:sz w:val="24"/>
        </w:rPr>
      </w:pPr>
      <w:r>
        <w:rPr>
          <w:rFonts w:hAnsi="宋体"/>
          <w:sz w:val="24"/>
        </w:rPr>
        <w:t>受托人身份证号码：</w:t>
      </w:r>
    </w:p>
    <w:p w:rsidR="009C0BB7" w:rsidRDefault="009C0BB7" w:rsidP="009C0BB7">
      <w:pPr>
        <w:spacing w:line="360" w:lineRule="auto"/>
        <w:rPr>
          <w:rFonts w:hAnsi="宋体"/>
          <w:sz w:val="24"/>
        </w:rPr>
      </w:pPr>
    </w:p>
    <w:p w:rsidR="009C0BB7" w:rsidRDefault="009C0BB7" w:rsidP="009C0BB7">
      <w:pPr>
        <w:spacing w:line="360" w:lineRule="auto"/>
        <w:rPr>
          <w:rFonts w:hAnsi="宋体"/>
          <w:sz w:val="24"/>
        </w:rPr>
      </w:pPr>
    </w:p>
    <w:p w:rsidR="009C0BB7" w:rsidRDefault="009C0BB7" w:rsidP="009C0BB7">
      <w:pPr>
        <w:wordWrap w:val="0"/>
        <w:spacing w:line="360" w:lineRule="auto"/>
        <w:ind w:firstLine="629"/>
        <w:jc w:val="right"/>
        <w:rPr>
          <w:rFonts w:hAnsi="宋体"/>
          <w:sz w:val="24"/>
        </w:rPr>
      </w:pPr>
      <w:r>
        <w:rPr>
          <w:rFonts w:hAnsi="宋体"/>
          <w:sz w:val="24"/>
        </w:rPr>
        <w:t>委托日期：</w:t>
      </w:r>
      <w:r>
        <w:rPr>
          <w:rFonts w:hAnsi="宋体" w:hint="eastAsia"/>
          <w:sz w:val="24"/>
        </w:rPr>
        <w:t xml:space="preserve">    </w:t>
      </w:r>
      <w:r>
        <w:rPr>
          <w:rFonts w:hAnsi="宋体"/>
          <w:sz w:val="24"/>
        </w:rPr>
        <w:t>年</w:t>
      </w:r>
      <w:r>
        <w:rPr>
          <w:rFonts w:hAnsi="宋体" w:hint="eastAsia"/>
          <w:sz w:val="24"/>
        </w:rPr>
        <w:t xml:space="preserve">  </w:t>
      </w:r>
      <w:r>
        <w:rPr>
          <w:rFonts w:hAnsi="宋体"/>
          <w:sz w:val="24"/>
        </w:rPr>
        <w:t xml:space="preserve">  </w:t>
      </w:r>
      <w:r>
        <w:rPr>
          <w:rFonts w:hAnsi="宋体"/>
          <w:sz w:val="24"/>
        </w:rPr>
        <w:t>月</w:t>
      </w:r>
      <w:r>
        <w:rPr>
          <w:rFonts w:hAnsi="宋体" w:hint="eastAsia"/>
          <w:sz w:val="24"/>
        </w:rPr>
        <w:t xml:space="preserve"> </w:t>
      </w:r>
      <w:r>
        <w:rPr>
          <w:rFonts w:hAnsi="宋体"/>
          <w:sz w:val="24"/>
        </w:rPr>
        <w:t xml:space="preserve"> </w:t>
      </w:r>
      <w:r>
        <w:rPr>
          <w:rFonts w:hAnsi="宋体" w:hint="eastAsia"/>
          <w:sz w:val="24"/>
        </w:rPr>
        <w:t xml:space="preserve">  </w:t>
      </w:r>
      <w:r>
        <w:rPr>
          <w:rFonts w:hAnsi="宋体"/>
          <w:sz w:val="24"/>
        </w:rPr>
        <w:t>日</w:t>
      </w:r>
    </w:p>
    <w:p w:rsidR="009C0BB7" w:rsidRDefault="009C0BB7" w:rsidP="009C0BB7">
      <w:pPr>
        <w:widowControl/>
        <w:jc w:val="left"/>
        <w:rPr>
          <w:rFonts w:hAnsi="宋体"/>
          <w:sz w:val="24"/>
        </w:rPr>
      </w:pPr>
      <w:bookmarkStart w:id="0" w:name="_GoBack"/>
      <w:bookmarkEnd w:id="0"/>
    </w:p>
    <w:sectPr w:rsidR="009C0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FA0" w:rsidRDefault="00013FA0" w:rsidP="009C0BB7">
      <w:r>
        <w:separator/>
      </w:r>
    </w:p>
  </w:endnote>
  <w:endnote w:type="continuationSeparator" w:id="0">
    <w:p w:rsidR="00013FA0" w:rsidRDefault="00013FA0" w:rsidP="009C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FA0" w:rsidRDefault="00013FA0" w:rsidP="009C0BB7">
      <w:r>
        <w:separator/>
      </w:r>
    </w:p>
  </w:footnote>
  <w:footnote w:type="continuationSeparator" w:id="0">
    <w:p w:rsidR="00013FA0" w:rsidRDefault="00013FA0" w:rsidP="009C0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51"/>
    <w:rsid w:val="00013FA0"/>
    <w:rsid w:val="00116451"/>
    <w:rsid w:val="00764AD2"/>
    <w:rsid w:val="009C0BB7"/>
    <w:rsid w:val="00BE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AB321-029A-4D5D-A448-52F4C99B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B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0BB7"/>
    <w:rPr>
      <w:sz w:val="18"/>
      <w:szCs w:val="18"/>
    </w:rPr>
  </w:style>
  <w:style w:type="paragraph" w:styleId="a4">
    <w:name w:val="footer"/>
    <w:basedOn w:val="a"/>
    <w:link w:val="Char0"/>
    <w:uiPriority w:val="99"/>
    <w:unhideWhenUsed/>
    <w:rsid w:val="009C0B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0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Company>Microsoft</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2018-11-06T03:20:00Z</dcterms:created>
  <dcterms:modified xsi:type="dcterms:W3CDTF">2018-11-06T03:20:00Z</dcterms:modified>
</cp:coreProperties>
</file>