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泉心盈196天1号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产品托管人：兴业银行股份有限公司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泉心盈196天1号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C1088122000052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2022-08-23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671,383,173.21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19601B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2.4/年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19601A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19601B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19601A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30,423.00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737,075,021.30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19601A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259,290,016.12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19601B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477,785,005.18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1.09784553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19601A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1.09582651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19601B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1.09894436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1.09784553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19601A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1.09582651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19601B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1.09894436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19601A（%）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19601B（%）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开放式产品组合底仓以中高等级信用债为主，严控信用风险，辅助中长期利率债波段交易，在平衡风险和收益的基础上，通过波段交易，增厚组合收益。二季度，组合保持中性久期水平，灵活调整组合期限结构和品种结构，力求在控制风险的基础上为客户提供更高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539,181,143.99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73.07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199,365,066.40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27.02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498,779,992.48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67.59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197,302,024.22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26.74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40,401,151.51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5.48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2,063,042.18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2,023,598.48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16,302,917.42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2.21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571,107.31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其中：银行存款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2,329,159.05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0.32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571,107.31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default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结构性存款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Helvetica" w:hAnsi="Helvetica" w:eastAsia="Helvetica" w:cs="Helvetica"/>
                <w:i w:val="0"/>
                <w:iCs w:val="0"/>
                <w:color w:val="262C3B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000000"/>
                <w:sz w:val="24"/>
                <w:szCs w:val="24"/>
                <w:lang w:val="en-US" w:eastAsia="zh-CN"/>
              </w:rPr>
              <w:t>13,973,758.37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1.89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182,412,111.14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24.72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Helvetica" w:hAnsi="Helvetica" w:eastAsia="Helvetica" w:cs="Helvetica"/>
                <w:i w:val="0"/>
                <w:iCs w:val="0"/>
                <w:color w:val="262C3B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000000"/>
                <w:sz w:val="24"/>
                <w:szCs w:val="24"/>
                <w:lang w:val="en-US" w:eastAsia="zh-CN"/>
              </w:rPr>
              <w:t>1,098.84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621,040.53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737,897,271.39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202,580,812.72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27.45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128,807,493.57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5"/>
            <w:bookmarkStart w:id="1" w:name="OLE_LINK6"/>
            <w:r>
              <w:rPr>
                <w:rFonts w:ascii="宋体" w:hAnsi="宋体" w:cs="宋体"/>
                <w:color w:val="000000"/>
                <w:sz w:val="24"/>
                <w:szCs w:val="24"/>
              </w:rPr>
              <w:t>17.48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24农业银行CD176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49,976,884.25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创金合信恒利75号集合资产管理计划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33,550,843.43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24恒丰银行二级资本债01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31,235,610.00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21厦门银行永续债01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31,036,804.93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鲁资KY01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30,458,997.95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24农发31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30,340,059.86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24天津银行二级资本债01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30,222,920.96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25海资01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25,307,599.32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24衢江02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25,033,023.97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3.40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859,059,097.66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19601A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301,898,858.29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19601B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557,160,239.37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671,383,173.21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-859,059,097.66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671,383,173.21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19601A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236,615,936.49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19601B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434,767,236.72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齐鲁银行股份有限公司泉心盈196天1号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376010100101533788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兴业银行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22279C0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5F72B89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2025-07-09T01:25:10Z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