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鸿运财富2025年8号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鸿运财富2025年8号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C1088125000008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2025-03-04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426,779,000.00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110.38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430,670,096.87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25008A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112,968,850.72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209,777,689.48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50,466,219.30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35,168,137.64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22,289,199.73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1.00911735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25008A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1.00896575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1.00912877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1.00932438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1.00912877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1.00929178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1.00911735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25008A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1.00896575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1.00912877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1.00932438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1.00912877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1.00929178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25008A（%）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封闭式产品底仓以中高等级信用债为主，严控信用风险，通过杠杆策略增厚组合收益，在平衡风险和收益的基础上，适当提高组合久期，进一步提升产品静态收益率，力求为客户提供稳定的投资收益。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434,388,902.99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91.38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63,763,362.78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13.41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431,277,694.93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90.73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63,763,362.78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13.41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3,111,208.06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0.65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859,270.93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10,190.05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40,107,548.30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8.44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1,570.48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1,240,626.98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475,357,292.70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65,014,179.81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13.68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23鲁黄金MTN004(科创票据)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42,070,783.01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9.77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25融汇01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40,861,509.04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25西公01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40,774,305.75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40,107,548.30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24开晟01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35,747,227.47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24广开01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30,900,581.10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24南浦口MTN003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30,705,242.88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25嘉经控股MTN002A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30,446,901.37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25陕投集团MTN002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30,387,301.23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25兴业银行CD020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29,729,734.68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6.90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426,779,000.00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25008A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111,965,000.00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25008B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207,880,000.00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25008C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25008H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34,850,000.00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25008X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22,084,000.00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426,779,000.00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25008A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111,965,000.00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25008B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207,880,000.00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25008C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25008H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34,850,000.00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25008X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22,084,000.00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中国工商银行山东省分行资产托管专户-齐鲁鸿运财富2025年8号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1602023929200346083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4FE37E0F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2025-07-16T03:20:58Z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