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鸿运财富2024年31号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鸿运财富2024年31号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2024-12-17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329,922,000.00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113.09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335,115,713.63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6,928,435.31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191,333,670.76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11,425,191.89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87,237,686.83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15,764,837.97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10,836,159.72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11,589,731.15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1.01574224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1.01530411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1.01584109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1.01557261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1.0155726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1.01584109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1.0155726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1.0158411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1.01574224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1.01530411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1.01584109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1.01557261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1.0155726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1.01584109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1.0155726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1.0158411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338,060,573.16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40,314,600.36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328,293,920.70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86.62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39,670,671.83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9,766,652.46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2.58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643,928.53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631,617.14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721,936.91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26,582.91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40,204,132.03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10.61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204.08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378,986,642.10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40,973,004.49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10.81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40,204,132.03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12.00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23中原银行永续债01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33,342,501.37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31,613,019.86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20海尔金控MTN001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31,193,760.00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21合川城投MTN002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31,048,416.99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23成都工租PPN001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30,809,771.51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23西安高新PPN004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30,777,397.81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24邗江城建PPN001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30,642,394.93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25江宁城建MTN003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30,574,384.52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25农业银行CD008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29,736,523.64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329,922,000.00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6,824,000.00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188,350,000.00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11,250,000.00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85,900,000.00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15,519,000.00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10,670,000.00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11,409,000.00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329,922,000.00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6,824,000.00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188,350,000.00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11,250,000.00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85,900,000.00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15,519,000.00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10,670,000.00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11,409,000.00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中国工商银行山东省分行资产托管专户-齐鲁鸿运财富2024年31号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1602023929200334896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34E2D25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2025-07-16T03:19:14Z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