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安稳泉家2023年23号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2025-01-01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安稳泉家2023年23号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C1088123000074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2023-10-25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162,723,000.00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2025-01-01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173,338,226.96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14,197,317.66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89,370,636.16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69,770,273.14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1.06523495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1.0640274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1.06571233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1.06486985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1.06523495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1.0640274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1.06571233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1.06486985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23023A（%）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23023C（%）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1.83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4.1.1 投资组合的投资策略和运作分析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上半年，债券市场收益率先上后下。宏观经济层面，总体延续2024年四季度以来的经济恢复态势，但地产投资仍是主要拖累；期间外部受到中美贸易摩擦影响，出口面临一定压力。结构上，生产好于需求，通胀数据依然偏弱，内部有效需求不足的矛盾依然突出。货币政策层面，一季度，经济企稳背景下，央行政策转向“稳汇率、防空转和防利率风险”，并持续收紧流动性，债券收益率顺势上行；二季度，央行呵护态度明确，5月降准、降息、结构性降息集中落地，6月央行流动性投放积极，流动性宽松延续，债市收益率延续震荡下行趋势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封闭式产品底仓以中高等级信用债为主，严控信用风险，通过杠杆策略增厚组合收益，在平衡风险和收益的基础上，整体加大期限匹配资产的配置，动态调整资产组合久期，进一步提升产品静态收益率，并降低市场波动对产品净值的影响，力求为客户提供稳定的投资收益。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4.1.2 投资组合的流动性风险分析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178,850,113.30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178,850,113.30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958,224.12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179,808,337.42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15,745,867.60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9.08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21常城建PPN001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15,734,028.90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15,629,355.00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20威海银行二级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15,571,617.95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15,547,605.82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15,406,073.42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25城控01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15,077,861.71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23德州财金MTN002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14,519,162.19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12,457,750.36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22溧水Y1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10,320,119.45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162,723,000.00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13,343,000.00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65,520,000.00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162,723,000.00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13,343,000.00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23023C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65,520,000.00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中国工商银行山东省分行资产托管专户-齐鲁银行安稳泉家2023年23号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1602023929200293270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2025-08-29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A804167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2025-08-06T06:12:40Z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