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泉心盈182天净值型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泉心盈182天净值型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C1088121000092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2021-05-28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4,351,122,106.68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4,936,829,527.63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1.13461066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1.13461066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开放式产品组合底仓以中高等级信用债为主，严控信用风险，辅助中长期利率债波段交易，在平衡风险和收益的基础上，通过波段交易，增厚组合收益。上半年，组合保持中性久期水平，灵活调整组合期限结构和品种结构，力求在控制风险的基础上为客户提供更高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9,785,520.85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4,118,855,997.02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83.20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837,619,323.61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3,963,530,747.71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80.06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835,856,159.15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155,325,249.31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1,763,164.46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70,016,876.72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1.41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1,729,454.18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5,190,123.25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9,197,737.68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746,775,643.02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12,849.81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1,947.82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4,950,637,010.67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848,548,463.29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17.14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636,691,226.46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12.90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23国开02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122,149,076.71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110,084,416.56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22国开10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86,840,645.48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25农发21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80,060,728.77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H希尔01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79,918,400.00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23鄂科03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73,078,482.06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23余城01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72,685,654.80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22西海融合PPN001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72,506,882.19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R007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70,016,876.72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1,736,697,785.89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4,319,926,096.44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-1,705,501,775.65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4,351,122,106.68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齐鲁银行股份有限公司泉心盈182天净值型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376010100101367307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40A7FC7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2025-08-06T06:07:02Z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