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鸿运财富2025年7号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2025-02-25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鸿运财富2025年7号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C1088125000014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2025-02-25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477,541,000.00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110.91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2025-02-25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482,142,562.97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25007A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50,474,657.70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201,933,151.37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100,959,671.61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50,479,835.91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50,483,288.15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27,811,958.23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1.00963595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25007A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1.00949315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1.00966575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1.00959671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1.00959671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1.00966576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1.00983835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1.00963595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25007A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1.00949315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1.00966575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1.00959671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1.00959671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1.00966576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1.00983835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25007A（%）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0.98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封闭式产品底仓以中高等级信用债为主，严控信用风险，通过杠杆策略增厚组合收益，在平衡风险和收益的基础上，整体加大期限匹配资产的配置，动态调整资产组合久期，进一步提升产品静态收益率，并降低市场波动对产品净值的影响，力求为客户提供稳定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462,089,137.46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86.42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79,704,203.47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462,089,137.46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86.42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79,704,203.47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 xml:space="preserve"> 22,498,023.99 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4.21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12,737.57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其中：银行存款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1,983,402.17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0.37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12,737.57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结构性存款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default" w:ascii="宋体" w:hAnsi="宋体" w:cs="宋体"/>
                <w:color w:val="000000"/>
                <w:sz w:val="24"/>
                <w:szCs w:val="24"/>
                <w:lang w:val="en-US" w:eastAsia="zh-CN"/>
              </w:rPr>
              <w:t>20,514,621.82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3.84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50,134,435.37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9.38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1,944.60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1,550,783.72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534,723,541.42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81,267,724.76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15.20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50,134,435.37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5"/>
            <w:bookmarkStart w:id="1" w:name="OLE_LINK6"/>
            <w:r>
              <w:rPr>
                <w:rFonts w:ascii="宋体" w:hAnsi="宋体" w:cs="宋体"/>
                <w:color w:val="000000"/>
                <w:sz w:val="24"/>
                <w:szCs w:val="24"/>
              </w:rPr>
              <w:t>10.40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23汉口银行二级资本债01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43,034,484.38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22成都工租PPN002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41,654,887.12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23泰安城投MTN001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41,483,317.26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21九江银行永续债02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39,207,261.04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24吴中城投PPN005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35,789,131.10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20泉州银行永续债01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33,220,667.62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23济南能源MTN002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32,666,787.19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23历下控股PPN001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30,732,250.27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24海尔金盈MTN004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30,661,247.67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6.36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477,541,000.00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25007A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25007B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25007C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25007E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25007H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25007X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27,541,000.00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477,541,000.00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477,541,000.00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25007A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25007B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25007C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25007E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25007H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25007X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27,541,000.00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中国工商银行山东省分行资产托管专户-齐鲁鸿运财富2025年7号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1602023929200345979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4C9479F"/>
    <w:rsid w:val="3F6778EF"/>
    <w:rsid w:val="46A87316"/>
    <w:rsid w:val="4746708A"/>
    <w:rsid w:val="541F3E53"/>
    <w:rsid w:val="59CF39D5"/>
    <w:rsid w:val="5E264CB3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2025-08-06T06:22:09Z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