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168,429,000.00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171,494,648.89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5,282,987.38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81,549,742.65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49,517,319.10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21,979,418.70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2,382,668.82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2,677,437.28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8,105,074.96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1.01820143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1.01772055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1.01866986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1.01820143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1.01772055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1.01866986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1.01803698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1.01835343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122,049,042.42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76,127,743.15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122,049,042.42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76,127,743.15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1,259,307.41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479,510.77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50,608,528.15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5,269.72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173,916,882.33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76,612,523.65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44.05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50,608,528.15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29.51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15,946,148.01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15,795,978.29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20潍坊银行永续债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15,616,108.15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24济宁银行二级资本债01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15,431,063.01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23淄金01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14,494,940.85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24京博CP002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10,358,876.58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23国控02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9,461,995.52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25泰山03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8,035,346.19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7,223,479.03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168,429,000.00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80,080,000.00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48,640,000.00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21,590,000.00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2,339,000.00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7,959,000.00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168,429,000.00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80,080,000.00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48,640,000.00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21,590,000.00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2,339,000.00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7,959,000.00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1602023929200330118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3586FC1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2025-08-06T06:14:17Z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