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齐鲁银行安稳泉家2023年14号B款理财产品到期兑付公告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14号B款理财产品于2025年07月01日到期兑付。本理财计划按照产品合同规定条款进行投资运作，理财期限733天，实现年化收益率4.10%，每万元费后净收益823.37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