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齐鲁银行安稳泉家2024年18号B款理财产品到期兑付公告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18号B款理财产品于2025年04月17日到期兑付。本理财计划按照产品合同规定条款进行投资运作，理财期限303天，实现年化收益率3.20%，每万元费后净收益265.64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2025年04月17日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