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齐鲁银行安稳泉家2024年27号F款财富节专享理财产品到期兑付公告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27号F款财富节专享理财产品于2025年06月12日到期兑付。本理财计划按照产品合同规定条款进行投资运作，理财期限303天，实现年化收益率3.05%，每万元费后净收益253.19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