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安稳泉家2024年34号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产品托管人：中国工商银行股份有限公司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安稳泉家2024年34号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C1088124000061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2024-11-26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311,046,000.00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2.85/年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101.22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318,495,345.77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7,074,963.64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179,519,292.43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115,914,016.96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3,879,838.60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12,107,234.14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1.02394933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1.02328082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1.0241274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1.02370411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1.02370411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1.0241274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1.02394933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1.02328082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1.0241274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1.02370411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1.02370411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1.0241274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24034A（%）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24034E（%）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24034H（%）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24034X（%）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0.71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封闭式产品底仓以中高等级信用债为主，严控信用风险，通过杠杆策略增厚组合收益，在平衡风险和收益的基础上，动态调整资产组合久期，降低市场波动对产品净值的影响，力求为客户提供稳定的投资收益。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516,224.01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231,363,885.19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71.76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114,601,255.20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211,355,787.11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65.56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114,601,255.20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20,008,098.08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140,597.02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411,647.83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90,888,350.47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52.08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8,117.98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322,392,884.76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115,537,245.02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35.84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中信建投基金-固益联28号集合资产管理计划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50,621,661.85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15.89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40,266,688.62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21合川城投MTN003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30,973,601.51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21余工03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21,432,692.33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21,187,833.97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22成都工租PPN002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20,926,058.36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25海融6A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20,008,098.08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24济宁银行二级资本债01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20,002,989.04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25东财R1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17,002,241.67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20兰州银行永续债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16,684,974.68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5.24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311,046,000.00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113,230,000.00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11,822,000.00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311,046,000.00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6,914,000.00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175,290,000.00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24034E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113,230,000.00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24034H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3,790,000.00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24034X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11,822,000.00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中国工商银行山东省分行资产托管专户-齐鲁安稳泉家2024年34号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1602023929200330242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工商银行济南趵突泉支行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2FFA5215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2025-10-22T03:08:12Z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