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泉心盈196天7号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2025年第3季度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产品管理人：齐鲁银行股份有限公司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产品托管人：兴业银行股份有限公司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1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重要提示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产品管理人的董事会及董事保证本报告所载资料不存在虚假记载、误导性陈述或重大遗漏，并对其内容的真实性、准确性和完整性承担个别及连带责任。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产品管理人承诺以诚实信用、勤勉尽责的原则管理和运用产品资产，但不保证产品一定盈利。　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产品的过往业绩并不代表其未来表现。投资有风险，投资者在作出投资决策前应仔细阅读本产品的产品说明书。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本报告中财务资料未经审计。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</w:t>
      </w:r>
      <w:r>
        <w:rPr>
          <w:rFonts w:ascii="宋体" w:hAnsi="宋体" w:cs="宋体"/>
          <w:color w:val="000000"/>
          <w:sz w:val="24"/>
          <w:szCs w:val="24"/>
        </w:rPr>
        <w:t>报告期</w:t>
      </w:r>
      <w:r>
        <w:rPr>
          <w:rFonts w:hint="eastAsia" w:ascii="宋体" w:hAnsi="宋体" w:cs="宋体"/>
          <w:color w:val="000000"/>
          <w:sz w:val="24"/>
          <w:szCs w:val="24"/>
        </w:rPr>
        <w:t>自 2025-07-01</w:t>
      </w:r>
      <w:r>
        <w:rPr>
          <w:rFonts w:ascii="宋体" w:hAnsi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</w:rPr>
        <w:t>起至 2025-09-30</w:t>
      </w:r>
      <w:r>
        <w:rPr>
          <w:rFonts w:ascii="宋体" w:hAnsi="宋体" w:cs="宋体"/>
          <w:color w:val="000000"/>
          <w:sz w:val="24"/>
          <w:szCs w:val="24"/>
        </w:rPr>
        <w:t xml:space="preserve"> 止。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2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 xml:space="preserve">产品概况 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2.1 产品基本情况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17"/>
        <w:tblW w:w="89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7"/>
        <w:gridCol w:w="44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产品中文商业全称</w:t>
            </w:r>
          </w:p>
        </w:tc>
        <w:tc>
          <w:tcPr>
            <w:tcW w:w="44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泉心盈196天7号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产品登记编码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C1088122000059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产品成立/起始日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2022-11-15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报告期末产品份额总额（份）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 xml:space="preserve">474,807,405.64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业绩比较基准（%）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2.4/年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2.3/年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杠杆水平（%）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>104.00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销售手续费率（%）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19607A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托管费率（%）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固定管理费率（%）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其他费率（%）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4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业绩报酬（元）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pStyle w:val="51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0.00</w:t>
            </w:r>
          </w:p>
        </w:tc>
      </w:tr>
    </w:tbl>
    <w:p>
      <w:pPr>
        <w:ind w:firstLine="400"/>
        <w:jc w:val="center"/>
        <w:rPr>
          <w:rFonts w:eastAsia="Times New Roman"/>
        </w:rPr>
      </w:pPr>
      <w:r>
        <w:rPr>
          <w:rFonts w:eastAsia="Times New Roman"/>
        </w:rPr>
        <w:t> </w:t>
      </w: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3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主要财务指标和产品净值表现</w:t>
      </w: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3.1 主要财务指标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000" w:type="dxa"/>
        <w:jc w:val="center"/>
        <w:tblCellSpacing w:w="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tblCellSpacing w:w="8" w:type="dxa"/>
          <w:jc w:val="center"/>
        </w:trPr>
        <w:tc>
          <w:tcPr>
            <w:tcW w:w="8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51"/>
              <w:jc w:val="righ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单位：元、元/份</w:t>
            </w:r>
          </w:p>
        </w:tc>
      </w:tr>
    </w:tbl>
    <w:p>
      <w:pPr>
        <w:rPr>
          <w:rFonts w:ascii="宋体" w:hAnsi="宋体"/>
          <w:vanish/>
          <w:sz w:val="24"/>
          <w:szCs w:val="24"/>
        </w:rPr>
      </w:pPr>
    </w:p>
    <w:tbl>
      <w:tblPr>
        <w:tblStyle w:val="17"/>
        <w:tblW w:w="91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1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5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52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主要财务指标</w:t>
            </w:r>
          </w:p>
        </w:tc>
        <w:tc>
          <w:tcPr>
            <w:tcW w:w="4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51"/>
              <w:spacing w:line="40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2025-07-01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>至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2"/>
              </w:rPr>
              <w:t xml:space="preserve"> 2025-09-30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1.期末产品资产净值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521,069,943.74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19607A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207,377,335.40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313,692,608.34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2.期末产品份额净值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1.09743432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1.0955444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1.0986873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3.期末产品份额累计净值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1.09743432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19607A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1.0955444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1.0986873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pStyle w:val="51"/>
              <w:spacing w:line="320" w:lineRule="atLeas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</w:rPr>
              <w:t>4.本报告期累计净值增长率</w:t>
            </w:r>
            <w:r>
              <w:rPr>
                <w:rFonts w:hint="eastAsia" w:ascii="宋体" w:hAnsi="宋体" w:cs="宋体"/>
                <w:color w:val="000000"/>
                <w:kern w:val="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2"/>
                <w:lang w:val="en-US" w:eastAsia="zh-CN"/>
              </w:rPr>
              <w:t>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其中： 19607A（%）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51"/>
              <w:spacing w:line="320" w:lineRule="atLeast"/>
              <w:ind w:hanging="1"/>
              <w:jc w:val="left"/>
              <w:rPr>
                <w:rFonts w:hint="default" w:ascii="宋体" w:hAnsi="宋体" w:eastAsia="宋体" w:cs="宋体"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u w:val="none"/>
              </w:rPr>
              <w:t>19607B（%）</w:t>
            </w:r>
          </w:p>
        </w:tc>
        <w:tc>
          <w:tcPr>
            <w:tcW w:w="4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0.40</w:t>
            </w:r>
          </w:p>
        </w:tc>
      </w:tr>
    </w:tbl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注：除产品合同和说明书另有规定外，期末产品份额净值、期末产品份额累计净值按截位法保留至小数点后第8</w:t>
      </w:r>
      <w:r>
        <w:rPr>
          <w:rFonts w:hint="eastAsia" w:ascii="宋体" w:hAnsi="宋体" w:cs="宋体"/>
          <w:color w:val="000000"/>
          <w:sz w:val="24"/>
          <w:szCs w:val="24"/>
        </w:rPr>
        <w:t>位，其他财务指标保留至小数点后第2位。</w:t>
      </w:r>
    </w:p>
    <w:p>
      <w:pPr>
        <w:ind w:firstLine="400"/>
        <w:jc w:val="center"/>
        <w:rPr>
          <w:rFonts w:eastAsiaTheme="minorEastAsia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4</w:t>
      </w:r>
      <w:r>
        <w:rPr>
          <w:rFonts w:ascii="宋体" w:hAnsi="宋体"/>
          <w:bCs/>
          <w:sz w:val="33"/>
          <w:szCs w:val="33"/>
        </w:rPr>
        <w:t xml:space="preserve"> </w:t>
      </w:r>
      <w:r>
        <w:rPr>
          <w:rFonts w:hint="eastAsia" w:ascii="宋体" w:hAnsi="宋体"/>
          <w:bCs/>
          <w:sz w:val="33"/>
          <w:szCs w:val="33"/>
        </w:rPr>
        <w:t>投资组合报告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4.1 管理人对报告期内投资组合的投资策略说明</w:t>
      </w:r>
    </w:p>
    <w:p>
      <w:pPr>
        <w:jc w:val="left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4.1.1 </w:t>
      </w:r>
      <w:r>
        <w:rPr>
          <w:rFonts w:hint="eastAsia" w:ascii="宋体" w:hAnsi="宋体" w:cs="宋体"/>
          <w:color w:val="000000"/>
          <w:sz w:val="24"/>
          <w:szCs w:val="24"/>
        </w:rPr>
        <w:t>投资组合的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投资策略和运作分析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2025年三季度，债券市场在中美贸易摩擦阶段性缓和、反内卷政策、股债跷跷板、基金费率改革等利空影响下，债券收益率持续上行。7月，“反内卷”相关政策出台，通胀和企业盈利预期升温，权益市场大幅走强，债券市场相对承压，收益率上行。8月，权益市场持续强势，压制债市情绪，叠加基金持续赎回负反馈，债券收益率持续上行。9月，在权益强势、基金持续赎回的背景下，证监会发布基金费率改革的征求意见稿，增加赎回费的相关规定，进一步增加了债市的脆弱性，债券市场收益率进一步上行。总体来看，三季度多重利空因素叠加，债券市场走出了一波阶段性熊市行情。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  <w:lang w:val="en-US" w:eastAsia="zh-CN"/>
        </w:rPr>
        <w:t>开放式产品组合底仓以中高等级信用债为主，严控信用风险。三季度，组合保持中性久期水平，灵活调整组合期限结构和品种结构，力求在控制风险的基础上为客户提供更高的投资收益。</w:t>
      </w: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4.1.2 </w:t>
      </w:r>
      <w:r>
        <w:rPr>
          <w:rFonts w:hint="eastAsia" w:ascii="宋体" w:hAnsi="宋体" w:cs="宋体"/>
          <w:color w:val="000000"/>
          <w:sz w:val="24"/>
          <w:szCs w:val="24"/>
        </w:rPr>
        <w:t>投资组合的流动性风险分析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产品投资方向为固收类资产，本行审慎对国内外宏观经济形势、市场利率走势及债券市场资金供求情况综合分析，预测债券市场利率走势，结合流动性预判及各类流动性管理措施，并对各投资品种收益率、波动性、各类风险进行在控制风险的前提下，积极构建及调整投资组合，力争合理的流动性安排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color w:val="000000"/>
          <w:sz w:val="24"/>
          <w:szCs w:val="24"/>
        </w:rPr>
      </w:pPr>
      <w:bookmarkStart w:id="2" w:name="_GoBack"/>
      <w:bookmarkEnd w:id="2"/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4.2 报告期末资产情况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间接</w:t>
            </w:r>
            <w:r>
              <w:rPr>
                <w:rFonts w:ascii="宋体" w:hAnsi="宋体"/>
                <w:b/>
                <w:sz w:val="24"/>
                <w:szCs w:val="24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29,749.85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377,573,429.60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69.67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175,833,118.08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357,543,910.42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65.98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175,833,118.08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20,029,519.18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3.70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2,400,631.87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1,867,655.26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资管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161,929,481.39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29.88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4,668.27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558.35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541,908,211.13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177,731,081.54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32.80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>注1：间接投资占产品总资产的比例（%）为占本产品总资产的比例（%）。</w:t>
      </w:r>
    </w:p>
    <w:p>
      <w:pPr>
        <w:ind w:left="420" w:leftChars="200"/>
        <w:jc w:val="left"/>
        <w:rPr>
          <w:rFonts w:asciiTheme="minorEastAsia" w:hAnsiTheme="minorEastAsia" w:eastAsiaTheme="minorEastAsia"/>
          <w:szCs w:val="21"/>
        </w:rPr>
      </w:pPr>
    </w:p>
    <w:p>
      <w:pPr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4.3 报告期末投资前十名资产明细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鑫沅鑫梅花527号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97,044,618.55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bookmarkStart w:id="0" w:name="OLE_LINK6"/>
            <w:bookmarkStart w:id="1" w:name="OLE_LINK5"/>
            <w:r>
              <w:rPr>
                <w:rFonts w:ascii="宋体" w:hAnsi="宋体" w:cs="宋体"/>
                <w:color w:val="000000"/>
                <w:sz w:val="24"/>
                <w:szCs w:val="24"/>
              </w:rPr>
              <w:t>18.62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创金合信恒利75号集合资产管理计划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64,884,862.84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24农发31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50,754,336.99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23周发01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31,610,745.20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23烟金02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31,075,890.41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21土地01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30,117,969.86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22民生01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26,324,931.51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25章丘02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25,196,643.84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4.84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21舜通01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20,717,819.18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ind w:hanging="1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25荣成02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20,338,136.99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3.90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right="-107" w:rightChars="-51" w:firstLine="420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注：前十项资产明细仅包含证券投资、场外投资，不包含银行存款、存出保证金、清算备付金等资产。</w:t>
      </w:r>
    </w:p>
    <w:p>
      <w:pPr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4.4 报告期末投资非标准化债权资产情况</w:t>
      </w:r>
    </w:p>
    <w:tbl>
      <w:tblPr>
        <w:tblStyle w:val="17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92"/>
        <w:gridCol w:w="993"/>
        <w:gridCol w:w="1291"/>
        <w:gridCol w:w="1350"/>
        <w:gridCol w:w="213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04" w:type="dxa"/>
            <w:shd w:val="clear" w:color="auto" w:fill="D9D9D9"/>
            <w:vAlign w:val="center"/>
          </w:tcPr>
          <w:p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992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</w:p>
        </w:tc>
        <w:tc>
          <w:tcPr>
            <w:tcW w:w="9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融资客户</w:t>
            </w:r>
          </w:p>
        </w:tc>
        <w:tc>
          <w:tcPr>
            <w:tcW w:w="129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剩余融资期限（天）</w:t>
            </w:r>
          </w:p>
        </w:tc>
        <w:tc>
          <w:tcPr>
            <w:tcW w:w="1350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到期收益分配</w:t>
            </w:r>
          </w:p>
        </w:tc>
        <w:tc>
          <w:tcPr>
            <w:tcW w:w="213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交易结构</w:t>
            </w:r>
          </w:p>
        </w:tc>
        <w:tc>
          <w:tcPr>
            <w:tcW w:w="1567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7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left="4" w:leftChars="2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4" w:leftChars="2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4.5 产品份额变动</w:t>
      </w:r>
    </w:p>
    <w:p>
      <w:pPr>
        <w:ind w:left="4" w:leftChars="2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 w:val="24"/>
          <w:szCs w:val="24"/>
        </w:rPr>
        <w:t>单位：份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报告期期初产品份额总额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844,152,380.95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273,120,522.24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571,031,858.71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报告期期间产品总申购份额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474,807,405.64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报告期期间产品总赎回份额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-844,152,380.95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报告期期末产品份额总额</w:t>
            </w:r>
          </w:p>
        </w:tc>
        <w:tc>
          <w:tcPr>
            <w:tcW w:w="6008" w:type="dxa"/>
            <w:tcMar>
              <w:top w:w="0" w:type="dxa"/>
              <w:left w:w="108" w:type="dxa"/>
              <w:bottom w:w="10" w:type="dxa"/>
              <w:right w:w="118" w:type="dxa"/>
            </w:tcMar>
          </w:tcPr>
          <w:p>
            <w:pPr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474,807,405.64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19607A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189,291,583.85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972" w:type="dxa"/>
            <w:shd w:val="clear" w:color="auto" w:fill="auto"/>
          </w:tcPr>
          <w:p>
            <w:pPr>
              <w:ind w:hanging="1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19607B</w:t>
            </w:r>
          </w:p>
        </w:tc>
        <w:tc>
          <w:tcPr>
            <w:tcW w:w="6008" w:type="dxa"/>
            <w:shd w:val="clear" w:color="auto" w:fill="auto"/>
          </w:tcPr>
          <w:p>
            <w:pPr>
              <w:ind w:hanging="1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b w:val="0"/>
                <w:i w:val="0"/>
                <w:strike w:val="0"/>
                <w:color w:val="000000"/>
                <w:sz w:val="24"/>
                <w:u w:val="none"/>
              </w:rPr>
              <w:t>285,515,821.79</w:t>
            </w: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4.6 投资账户信息</w:t>
      </w:r>
    </w:p>
    <w:tbl>
      <w:tblPr>
        <w:tblStyle w:val="17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38"/>
        <w:gridCol w:w="1734"/>
        <w:gridCol w:w="3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账户类型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账户名称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账号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top"/>
          </w:tcPr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90" w:type="dxa"/>
            <w:tcMar>
              <w:top w:w="0" w:type="dxa"/>
              <w:left w:w="118" w:type="dxa"/>
              <w:bottom w:w="10" w:type="dxa"/>
              <w:right w:w="118" w:type="dxa"/>
            </w:tcMar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托管账户</w:t>
            </w:r>
          </w:p>
        </w:tc>
        <w:tc>
          <w:tcPr>
            <w:tcW w:w="183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齐鲁银行股份有限公司泉心盈196天7号</w:t>
            </w:r>
          </w:p>
        </w:tc>
        <w:tc>
          <w:tcPr>
            <w:tcW w:w="1734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376010100101534839</w:t>
            </w:r>
          </w:p>
        </w:tc>
        <w:tc>
          <w:tcPr>
            <w:tcW w:w="3818" w:type="dxa"/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兴业银行</w:t>
            </w:r>
          </w:p>
        </w:tc>
      </w:tr>
    </w:tbl>
    <w:p>
      <w:pPr>
        <w:spacing w:line="360" w:lineRule="auto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>
      <w:pPr>
        <w:jc w:val="center"/>
        <w:rPr>
          <w:rFonts w:ascii="宋体" w:hAnsi="宋体"/>
          <w:bCs/>
          <w:sz w:val="33"/>
          <w:szCs w:val="33"/>
        </w:rPr>
      </w:pPr>
      <w:r>
        <w:rPr>
          <w:rFonts w:hint="eastAsia" w:ascii="宋体" w:hAnsi="宋体"/>
          <w:bCs/>
          <w:sz w:val="33"/>
          <w:szCs w:val="33"/>
        </w:rPr>
        <w:t>5  托管人报告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托管人声明：本报告期内，资产托管人严格遵守有关法律法规、托管协议关于托管人职责的约定，尽职尽责地履行了托管职责并安全保管托管资产。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在管理人提供的各项数据和信息真实、准确、有效的前提下，在托管人能够知悉和掌握的情况范围内，托管人对管理人报告中的财务数据进行了复核，未发现存在虚假记载、误导性陈述或者重大遗漏的情形。</w:t>
      </w:r>
    </w:p>
    <w:p>
      <w:pPr>
        <w:spacing w:line="360" w:lineRule="auto"/>
        <w:ind w:firstLine="42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bidi="ar"/>
        </w:rPr>
        <w:t>特此公告。</w:t>
      </w:r>
    </w:p>
    <w:p>
      <w:pPr>
        <w:spacing w:line="360" w:lineRule="auto"/>
        <w:ind w:firstLine="420"/>
        <w:rPr>
          <w:rFonts w:eastAsia="Times New Roman"/>
        </w:rPr>
      </w:pPr>
      <w:r>
        <w:rPr>
          <w:rFonts w:ascii="Calibri" w:hAnsi="Calibri" w:eastAsia="Calibri" w:cs="Calibri"/>
          <w:szCs w:val="21"/>
        </w:rPr>
        <w:t> </w:t>
      </w:r>
    </w:p>
    <w:p>
      <w:pPr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齐鲁银行股份有限公司</w:t>
      </w:r>
    </w:p>
    <w:p>
      <w:pPr>
        <w:ind w:firstLine="4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2025-10-15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05A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A8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1A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6D1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8F5"/>
    <w:rsid w:val="00131F63"/>
    <w:rsid w:val="001321D3"/>
    <w:rsid w:val="001367E6"/>
    <w:rsid w:val="0013763A"/>
    <w:rsid w:val="00137F13"/>
    <w:rsid w:val="00140432"/>
    <w:rsid w:val="00142BF7"/>
    <w:rsid w:val="001431D2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76115"/>
    <w:rsid w:val="0019201F"/>
    <w:rsid w:val="00193F23"/>
    <w:rsid w:val="00196688"/>
    <w:rsid w:val="001A6A60"/>
    <w:rsid w:val="001A6DCE"/>
    <w:rsid w:val="001B0D81"/>
    <w:rsid w:val="001B2258"/>
    <w:rsid w:val="001B3575"/>
    <w:rsid w:val="001B43F0"/>
    <w:rsid w:val="001B6489"/>
    <w:rsid w:val="001C4ACD"/>
    <w:rsid w:val="001C5999"/>
    <w:rsid w:val="001D364E"/>
    <w:rsid w:val="001D61DA"/>
    <w:rsid w:val="001E1A37"/>
    <w:rsid w:val="001E27AF"/>
    <w:rsid w:val="001E2A08"/>
    <w:rsid w:val="001E4B7A"/>
    <w:rsid w:val="001E5E17"/>
    <w:rsid w:val="001E7354"/>
    <w:rsid w:val="001E7E3E"/>
    <w:rsid w:val="001F28F0"/>
    <w:rsid w:val="001F4ADC"/>
    <w:rsid w:val="001F5BAE"/>
    <w:rsid w:val="001F7D68"/>
    <w:rsid w:val="00203B47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6FB5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0418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48"/>
    <w:rsid w:val="00352670"/>
    <w:rsid w:val="00353071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5970"/>
    <w:rsid w:val="00386B5A"/>
    <w:rsid w:val="00391B1F"/>
    <w:rsid w:val="00392524"/>
    <w:rsid w:val="0039364C"/>
    <w:rsid w:val="00393CB1"/>
    <w:rsid w:val="003942F4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64C"/>
    <w:rsid w:val="0041580B"/>
    <w:rsid w:val="00415C27"/>
    <w:rsid w:val="00415F33"/>
    <w:rsid w:val="004169FD"/>
    <w:rsid w:val="00420876"/>
    <w:rsid w:val="0042283D"/>
    <w:rsid w:val="00422CE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31F4"/>
    <w:rsid w:val="00524996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56DA2"/>
    <w:rsid w:val="00560EAF"/>
    <w:rsid w:val="00572059"/>
    <w:rsid w:val="00573E83"/>
    <w:rsid w:val="00575762"/>
    <w:rsid w:val="005775FA"/>
    <w:rsid w:val="00583550"/>
    <w:rsid w:val="00591622"/>
    <w:rsid w:val="005947ED"/>
    <w:rsid w:val="00596277"/>
    <w:rsid w:val="00596803"/>
    <w:rsid w:val="005A6657"/>
    <w:rsid w:val="005B0572"/>
    <w:rsid w:val="005B19E8"/>
    <w:rsid w:val="005B6C71"/>
    <w:rsid w:val="005B7EF7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27DC0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2BA8"/>
    <w:rsid w:val="006A307A"/>
    <w:rsid w:val="006B0B91"/>
    <w:rsid w:val="006B24E7"/>
    <w:rsid w:val="006B554E"/>
    <w:rsid w:val="006B5B87"/>
    <w:rsid w:val="006B77BE"/>
    <w:rsid w:val="006C21A8"/>
    <w:rsid w:val="006C49D3"/>
    <w:rsid w:val="006C71D5"/>
    <w:rsid w:val="006C742E"/>
    <w:rsid w:val="006D4D97"/>
    <w:rsid w:val="006D78DE"/>
    <w:rsid w:val="006E2B12"/>
    <w:rsid w:val="006E3BE7"/>
    <w:rsid w:val="006E5986"/>
    <w:rsid w:val="006E5F79"/>
    <w:rsid w:val="006E6073"/>
    <w:rsid w:val="006E72DC"/>
    <w:rsid w:val="006E7D51"/>
    <w:rsid w:val="006F01F5"/>
    <w:rsid w:val="006F05AC"/>
    <w:rsid w:val="006F1E99"/>
    <w:rsid w:val="006F26FB"/>
    <w:rsid w:val="006F2A9A"/>
    <w:rsid w:val="006F33DF"/>
    <w:rsid w:val="006F3BCC"/>
    <w:rsid w:val="00710F9C"/>
    <w:rsid w:val="00711860"/>
    <w:rsid w:val="00714D1B"/>
    <w:rsid w:val="00717029"/>
    <w:rsid w:val="00720312"/>
    <w:rsid w:val="0072202C"/>
    <w:rsid w:val="0072288E"/>
    <w:rsid w:val="00727121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3DEB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B3FDF"/>
    <w:rsid w:val="007C00B5"/>
    <w:rsid w:val="007C271F"/>
    <w:rsid w:val="007D4695"/>
    <w:rsid w:val="007D5F69"/>
    <w:rsid w:val="007D7D2D"/>
    <w:rsid w:val="007E22BB"/>
    <w:rsid w:val="007E24A8"/>
    <w:rsid w:val="007E6BBB"/>
    <w:rsid w:val="007F261A"/>
    <w:rsid w:val="007F4389"/>
    <w:rsid w:val="0080135F"/>
    <w:rsid w:val="00802F9D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466A5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16D8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0656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2C76"/>
    <w:rsid w:val="00932DEA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2AB"/>
    <w:rsid w:val="0097695A"/>
    <w:rsid w:val="00982515"/>
    <w:rsid w:val="00985C6F"/>
    <w:rsid w:val="00987DA5"/>
    <w:rsid w:val="00996119"/>
    <w:rsid w:val="009A10CD"/>
    <w:rsid w:val="009A7588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2D2A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AF6371"/>
    <w:rsid w:val="00B01D6A"/>
    <w:rsid w:val="00B0308C"/>
    <w:rsid w:val="00B10E20"/>
    <w:rsid w:val="00B13755"/>
    <w:rsid w:val="00B14EDA"/>
    <w:rsid w:val="00B15B26"/>
    <w:rsid w:val="00B15EA7"/>
    <w:rsid w:val="00B218BF"/>
    <w:rsid w:val="00B273A3"/>
    <w:rsid w:val="00B27FD9"/>
    <w:rsid w:val="00B30A58"/>
    <w:rsid w:val="00B33E1B"/>
    <w:rsid w:val="00B343B8"/>
    <w:rsid w:val="00B347A3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84C"/>
    <w:rsid w:val="00B73D60"/>
    <w:rsid w:val="00B7675B"/>
    <w:rsid w:val="00B80918"/>
    <w:rsid w:val="00B81709"/>
    <w:rsid w:val="00B82529"/>
    <w:rsid w:val="00B82FD4"/>
    <w:rsid w:val="00B91227"/>
    <w:rsid w:val="00B9280A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0CCC"/>
    <w:rsid w:val="00BF2E9E"/>
    <w:rsid w:val="00BF5021"/>
    <w:rsid w:val="00BF625D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521"/>
    <w:rsid w:val="00C41372"/>
    <w:rsid w:val="00C41F00"/>
    <w:rsid w:val="00C41FD7"/>
    <w:rsid w:val="00C4406A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A5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271"/>
    <w:rsid w:val="00D06468"/>
    <w:rsid w:val="00D1017D"/>
    <w:rsid w:val="00D11282"/>
    <w:rsid w:val="00D11D55"/>
    <w:rsid w:val="00D14569"/>
    <w:rsid w:val="00D15AFB"/>
    <w:rsid w:val="00D15B0F"/>
    <w:rsid w:val="00D25096"/>
    <w:rsid w:val="00D2614B"/>
    <w:rsid w:val="00D3035E"/>
    <w:rsid w:val="00D30B4B"/>
    <w:rsid w:val="00D31FD3"/>
    <w:rsid w:val="00D3496C"/>
    <w:rsid w:val="00D35F7B"/>
    <w:rsid w:val="00D3643E"/>
    <w:rsid w:val="00D40841"/>
    <w:rsid w:val="00D411DB"/>
    <w:rsid w:val="00D452EA"/>
    <w:rsid w:val="00D54504"/>
    <w:rsid w:val="00D57ABE"/>
    <w:rsid w:val="00D60D0A"/>
    <w:rsid w:val="00D63034"/>
    <w:rsid w:val="00D664DF"/>
    <w:rsid w:val="00D679E8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16C03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213D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701"/>
    <w:rsid w:val="00F34D29"/>
    <w:rsid w:val="00F35C2C"/>
    <w:rsid w:val="00F36C13"/>
    <w:rsid w:val="00F43944"/>
    <w:rsid w:val="00F44F0C"/>
    <w:rsid w:val="00F45974"/>
    <w:rsid w:val="00F45EFD"/>
    <w:rsid w:val="00F51B8A"/>
    <w:rsid w:val="00F52438"/>
    <w:rsid w:val="00F53A4B"/>
    <w:rsid w:val="00F64D16"/>
    <w:rsid w:val="00F65B50"/>
    <w:rsid w:val="00F66D00"/>
    <w:rsid w:val="00F67B3D"/>
    <w:rsid w:val="00F733D2"/>
    <w:rsid w:val="00F87CF1"/>
    <w:rsid w:val="00F906DF"/>
    <w:rsid w:val="00F926DD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A6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B7772E4"/>
    <w:rsid w:val="1BFB64CC"/>
    <w:rsid w:val="2A0F0CCD"/>
    <w:rsid w:val="3F6778EF"/>
    <w:rsid w:val="46A87316"/>
    <w:rsid w:val="4746708A"/>
    <w:rsid w:val="541F3E53"/>
    <w:rsid w:val="59CF39D5"/>
    <w:rsid w:val="5E927177"/>
    <w:rsid w:val="63FA7DBC"/>
    <w:rsid w:val="6ACC0B2B"/>
    <w:rsid w:val="78A05E31"/>
    <w:rsid w:val="7E4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字符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字符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字符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字符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字符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  <w:style w:type="paragraph" w:customStyle="1" w:styleId="51">
    <w:name w:val="MsoNormal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paragraph" w:customStyle="1" w:styleId="52">
    <w:name w:val="p"/>
    <w:basedOn w:val="1"/>
    <w:qFormat/>
    <w:uiPriority w:val="0"/>
    <w:pPr>
      <w:widowControl/>
      <w:jc w:val="left"/>
    </w:pPr>
    <w:rPr>
      <w:kern w:val="0"/>
      <w:sz w:val="24"/>
      <w:szCs w:val="24"/>
    </w:rPr>
  </w:style>
  <w:style w:type="character" w:customStyle="1" w:styleId="53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3438-05E5-4974-986F-B8135B590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393</Words>
  <Characters>2242</Characters>
  <Lines>18</Lines>
  <Paragraphs>5</Paragraphs>
  <TotalTime>0</TotalTime>
  <ScaleCrop>false</ScaleCrop>
  <LinksUpToDate>false</LinksUpToDate>
  <CharactersWithSpaces>2630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2020-01-07T12:08:00Z</dcterms:created>
  <dc:creator>yss</dc:creator>
  <cp:lastModifiedBy>Administrator</cp:lastModifiedBy>
  <cp:lastPrinted>2411-12-31T15:59:00Z</cp:lastPrinted>
  <dcterms:modified xsi:type="dcterms:W3CDTF">2025-10-23T01:57:31Z</dcterms:modified>
  <dc:title>gongGaoMingCheng</dc:title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74128E040AC64E1FACE515C7E3649458</vt:lpwstr>
  </property>
</Properties>
</file>